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</w:p>
    <w:p>
      <w:pPr>
        <w:jc w:val="center"/>
      </w:pPr>
      <w:r>
        <w:drawing>
          <wp:inline distT="0" distB="0" distL="0" distR="0">
            <wp:extent cx="1524000" cy="1323975"/>
            <wp:effectExtent t="0" r="0" b="0" l="0"/>
            <wp:docPr id="1" name="mark" descr="Triangle mark showing AI involvement" title="CProvenance 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Title"/>
        <w:spacing w:after="40" w:before="120"/>
      </w:pPr>
      <w:r>
        <w:rPr>
          <w:rFonts w:ascii="Georgia" w:cs="Georgia" w:eastAsia="Georgia" w:hAnsi="Georgia"/>
          <w:b/>
          <w:bCs/>
          <w:sz w:val="38"/>
          <w:szCs w:val="38"/>
        </w:rPr>
        <w:t xml:space="preserve">CProvenance — Launch &amp; Adoption Kit</w:t>
      </w:r>
    </w:p>
    <w:p>
      <w:pPr>
        <w:jc w:val="center"/>
      </w:pPr>
      <w:r>
        <w:rPr>
          <w:i/>
          <w:iCs/>
          <w:color w:val="6a655c"/>
          <w:sz w:val="22"/>
          <w:szCs w:val="22"/>
        </w:rPr>
        <w:t xml:space="preserve">Taking the standard public</w:t>
      </w:r>
    </w:p>
    <w:p>
      <w:pPr>
        <w:spacing w:after="160"/>
      </w:pPr>
    </w:p>
    <w:p>
      <w:pPr>
        <w:pStyle w:val="Heading1"/>
        <w:spacing w:after="160" w:before="280"/>
      </w:pPr>
      <w:r>
        <w:t xml:space="preserve">1. Positioning</w:t>
      </w:r>
    </w:p>
    <w:p>
      <w:pPr>
        <w:spacing w:after="160" w:line="276"/>
        <w:jc w:val="both"/>
      </w:pPr>
      <w:r>
        <w:t xml:space="preserve">CProvenance is the missing middle layer of AI disclosure: more informative than a binary “made with AI” label, more universal than domain-specific schemes, and more human-readable than cryptographic provenance. The one-line pitch: one mark and three numbers that say how much of any work came from AI — and at which stage of its life.</w:t>
      </w:r>
    </w:p>
    <w:p>
      <w:pPr>
        <w:spacing w:after="160" w:line="276"/>
        <w:jc w:val="both"/>
      </w:pPr>
      <w:r>
        <w:t xml:space="preserve">Position it as infrastructure, not judgement. Like Creative Commons, it is a shared vocabulary any creator can adopt in minutes and any platform can index; it describes a process without ranking it. The framework must never read as either pro- or anti-AI — its credibility rests on being equally useful to the proudly hand-made and the proudly machine-made.</w:t>
      </w:r>
    </w:p>
    <w:p>
      <w:pPr>
        <w:spacing w:after="160" w:line="276"/>
        <w:jc w:val="both"/>
      </w:pPr>
      <w:r>
        <w:t xml:space="preserve">The triangle is the brand, the CP(C/R/P) notation is the standard, and the framework document is the authority behind both. Everything public should lead with the working toolkit: a standard people can try in ten seconds beats one they can only read about.</w:t>
      </w:r>
    </w:p>
    <w:p>
      <w:pPr>
        <w:pStyle w:val="Heading1"/>
        <w:spacing w:after="160" w:before="280"/>
      </w:pPr>
      <w:r>
        <w:t xml:space="preserve">2. Audiences and messages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7060"/>
      </w:tblGrid>
      <w:tr>
        <w:tc>
          <w:tcPr>
            <w:tcW w:type="dxa" w:w="2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b2b3a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Audience</w:t>
            </w:r>
          </w:p>
        </w:tc>
        <w:tc>
          <w:tcPr>
            <w:tcW w:type="dxa" w:w="70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b2b3a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What they need to hear</w:t>
            </w:r>
          </w:p>
        </w:tc>
      </w:tr>
      <w:tr>
        <w:tc>
          <w:tcPr>
            <w:tcW w:type="dxa" w:w="2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Creators &amp; studios</w:t>
            </w:r>
          </w:p>
        </w:tc>
        <w:tc>
          <w:tcPr>
            <w:tcW w:type="dxa" w:w="70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“Disclose your process honestly without being penalised. One mark works across everything you make.”</w:t>
            </w:r>
          </w:p>
        </w:tc>
      </w:tr>
      <w:tr>
        <w:tc>
          <w:tcPr>
            <w:tcW w:type="dxa" w:w="2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Platforms &amp; publishers</w:t>
            </w:r>
          </w:p>
        </w:tc>
        <w:tc>
          <w:tcPr>
            <w:tcW w:type="dxa" w:w="70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“One consistent disclosure field across every content type you host — with structured metadata you can index.”</w:t>
            </w:r>
          </w:p>
        </w:tc>
      </w:tr>
      <w:tr>
        <w:tc>
          <w:tcPr>
            <w:tcW w:type="dxa" w:w="2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Institutions &amp; regulators</w:t>
            </w:r>
          </w:p>
        </w:tc>
        <w:tc>
          <w:tcPr>
            <w:tcW w:type="dxa" w:w="70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“A standardised, auditable vocabulary for AI involvement that maps onto the EU AI Act and ISO/IEC 42001.”</w:t>
            </w:r>
          </w:p>
        </w:tc>
      </w:tr>
      <w:tr>
        <w:tc>
          <w:tcPr>
            <w:tcW w:type="dxa" w:w="2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Consumers &amp; citers</w:t>
            </w:r>
          </w:p>
        </w:tc>
        <w:tc>
          <w:tcPr>
            <w:tcW w:type="dxa" w:w="70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“See at a glance how a work was made, and cite it accurately.”</w:t>
            </w:r>
          </w:p>
        </w:tc>
      </w:tr>
    </w:tbl>
    <w:p>
      <w:pPr>
        <w:pStyle w:val="Heading1"/>
        <w:spacing w:after="160" w:before="280"/>
      </w:pPr>
      <w:r>
        <w:t xml:space="preserve">3. Key messages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Not binary. </w:t>
      </w:r>
      <w:r>
        <w:t xml:space="preserve">AI involvement is a spectrum; disclosure should be too.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Universal. </w:t>
      </w:r>
      <w:r>
        <w:t xml:space="preserve">One framework for every domain, grounded in how anything is created: Think, Make, Tend.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Honest, not judgemental. </w:t>
      </w:r>
      <w:r>
        <w:t xml:space="preserve">It describes; it does not rank.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Glance plus detail. </w:t>
      </w:r>
      <w:r>
        <w:t xml:space="preserve">A triangle for the eye, CP(C/R/P) for the record, metadata for the machine.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Complementary. </w:t>
      </w:r>
      <w:r>
        <w:t xml:space="preserve">Sits alongside C2PA, Creative Commons, and regulation rather than competing with them.</w:t>
      </w:r>
    </w:p>
    <w:p>
      <w:pPr>
        <w:pStyle w:val="Heading1"/>
        <w:spacing w:after="160" w:before="280"/>
      </w:pPr>
      <w:r>
        <w:t xml:space="preserve">4. Channels</w:t>
      </w:r>
    </w:p>
    <w:p>
      <w:pPr>
        <w:spacing w:after="160" w:line="276"/>
        <w:jc w:val="both"/>
      </w:pPr>
      <w:r>
        <w:t xml:space="preserve">Lead with the working toolkit — a standard you can try in ten seconds is far more persuasive than a PDF. Suggested order: a landing site hosting the rating tool, badge generator and decoder; the framework and quick-start as downloads; a launch write-up explaining the gap and the three-part model; targeted outreach to standards bodies (C2PA, IPTC), creator communities, and a handful of friendly publishers willing to mark their own content; and a short demo video showing one work scored end-to-end.</w:t>
      </w:r>
    </w:p>
    <w:p>
      <w:pPr>
        <w:pStyle w:val="Heading1"/>
        <w:spacing w:after="160" w:before="280"/>
      </w:pPr>
      <w:r>
        <w:t xml:space="preserve">5. Launch checklist</w:t>
      </w:r>
    </w:p>
    <w:p>
      <w:pPr>
        <w:pStyle w:val="Heading2"/>
        <w:spacing w:after="120" w:before="200"/>
      </w:pPr>
      <w:r>
        <w:t xml:space="preserve">Phase 1 — Foundations (now)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Finalise v0.2 of the framework and the quick-start guide.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Publish the toolkit (rating tool, badge generator, score decoder).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Lock the brand: mark, colours, wordmark, and downloadable assets.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Register a home for the spec and a stable namespace URL for metadata.</w:t>
      </w:r>
    </w:p>
    <w:p>
      <w:pPr>
        <w:pStyle w:val="Heading2"/>
        <w:spacing w:after="120" w:before="200"/>
      </w:pPr>
      <w:r>
        <w:t xml:space="preserve">Phase 2 — Soft launch (weeks 1–4)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Score this kit’s own documents and display their marks (lead by example).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Recruit 5–10 pilot creators across different domains to score real works.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Gather feedback against the open questions in §12 of the spec.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Publish 2–3 worked case studies with visible marks.</w:t>
      </w:r>
    </w:p>
    <w:p>
      <w:pPr>
        <w:pStyle w:val="Heading2"/>
        <w:spacing w:after="120" w:before="200"/>
      </w:pPr>
      <w:r>
        <w:t xml:space="preserve">Phase 3 — Public launch (weeks 5–8)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Publish the launch write-up and demo video.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Open a public channel for contributions and disputes.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Approach one standards body and one platform for a pilot integration.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Offer copy-paste embed snippets for common CMS and publishing tools.</w:t>
      </w:r>
    </w:p>
    <w:p>
      <w:pPr>
        <w:pStyle w:val="Heading2"/>
        <w:spacing w:after="120" w:before="200"/>
      </w:pPr>
      <w:r>
        <w:t xml:space="preserve">Phase 4 — Iterate toward v1.0 (months 3–6)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Consolidate feedback; decide on the Source (S) dimension and verification.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Define an audit / challenge process for contested scores.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Pursue formal registration of the mark and namespace.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Ship integration guides for the most-requested platforms.</w:t>
      </w:r>
    </w:p>
    <w:p>
      <w:pPr>
        <w:pStyle w:val="Heading1"/>
        <w:spacing w:after="160" w:before="280"/>
      </w:pPr>
      <w:r>
        <w:t xml:space="preserve">6. Success signals</w:t>
      </w:r>
    </w:p>
    <w:p>
      <w:pPr>
        <w:spacing w:after="160" w:line="276"/>
        <w:jc w:val="both"/>
      </w:pPr>
      <w:r>
        <w:t xml:space="preserve">Early adoption is qualitative before it is quantitative. Watch for: works in the wild carrying the mark; a standards body or platform agreeing to a pilot; unsolicited domain-specific scoring guides from communities; and press or academic references that use the CP(C/R/P) notation as shorthand. Vanity metrics (page views) matter less than whether real creators mark real works.</w:t>
      </w:r>
    </w:p>
    <w:p>
      <w:pPr>
        <w:pStyle w:val="Heading1"/>
        <w:spacing w:after="160" w:before="280"/>
      </w:pPr>
      <w:r>
        <w:t xml:space="preserve">7. Frequently asked questions</w:t>
      </w:r>
    </w:p>
    <w:p>
      <w:pPr>
        <w:spacing w:after="40"/>
        <w:jc w:val="both"/>
      </w:pPr>
      <w:r>
        <w:rPr>
          <w:b/>
        </w:rPr>
        <w:t xml:space="preserve">Is a high score bad?</w:t>
      </w:r>
    </w:p>
    <w:p>
      <w:pPr>
        <w:spacing w:after="160" w:line="276"/>
        <w:jc w:val="both"/>
      </w:pPr>
      <w:r>
        <w:t xml:space="preserve">No. The framework describes; it does not judge. CP(95/98/90) and CP(0/0/0) are equally valid disclosures — the point is that the reader knows which one they are looking at.</w:t>
      </w:r>
    </w:p>
    <w:p>
      <w:pPr>
        <w:spacing w:after="40"/>
        <w:jc w:val="both"/>
      </w:pPr>
      <w:r>
        <w:rPr>
          <w:b/>
        </w:rPr>
        <w:t xml:space="preserve">Do spell-checkers and similar tools mean I must disclose AI involvement?</w:t>
      </w:r>
    </w:p>
    <w:p>
      <w:pPr>
        <w:spacing w:after="160" w:line="276"/>
        <w:jc w:val="both"/>
      </w:pPr>
      <w:r>
        <w:t xml:space="preserve">No. Passive tools — spell-checkers, calculators, autofocus — do not count. Involvement means AI made or substantively shaped decisions, generated content, or performed creative or analytical work.</w:t>
      </w:r>
    </w:p>
    <w:p>
      <w:pPr>
        <w:spacing w:after="40"/>
        <w:jc w:val="both"/>
      </w:pPr>
      <w:r>
        <w:rPr>
          <w:b/>
        </w:rPr>
        <w:t xml:space="preserve">How is this different from C2PA?</w:t>
      </w:r>
    </w:p>
    <w:p>
      <w:pPr>
        <w:spacing w:after="160" w:line="276"/>
        <w:jc w:val="both"/>
      </w:pPr>
      <w:r>
        <w:t xml:space="preserve">C2PA cryptographically records what happened to a file; CProvenance summarises, in human terms, how much of the work AI did across its whole life. They are complementary — a CProvenance score can travel inside a C2PA manifest as an assertion.</w:t>
      </w:r>
    </w:p>
    <w:p>
      <w:pPr>
        <w:spacing w:after="40"/>
        <w:jc w:val="both"/>
      </w:pPr>
      <w:r>
        <w:rPr>
          <w:b/>
        </w:rPr>
        <w:t xml:space="preserve">Can’t people just lie?</w:t>
      </w:r>
    </w:p>
    <w:p>
      <w:pPr>
        <w:spacing w:after="160" w:line="276"/>
        <w:jc w:val="both"/>
      </w:pPr>
      <w:r>
        <w:t xml:space="preserve">Yes — v0.2 is self-assessment, like choosing a Creative Commons licence. The immediate goal is a norm of disclosure and a shared vocabulary; verification, audit and challenge mechanisms are on the roadmap toward v1.0.</w:t>
      </w:r>
    </w:p>
    <w:p>
      <w:pPr>
        <w:spacing w:after="40"/>
        <w:jc w:val="both"/>
      </w:pPr>
      <w:r>
        <w:rPr>
          <w:b/>
        </w:rPr>
        <w:t xml:space="preserve">AI models are trained on human work — doesn’t that make every score misleading?</w:t>
      </w:r>
    </w:p>
    <w:p>
      <w:pPr>
        <w:spacing w:after="160" w:line="276"/>
        <w:jc w:val="both"/>
      </w:pPr>
      <w:r>
        <w:t xml:space="preserve">The score measures the creator’s process, not the tool’s ancestry. What a work is made of is content provenance, addressed today by the optional material_inputs field and in future by the proposed Source dimension, CP(C/R/P/S).</w:t>
      </w:r>
    </w:p>
    <w:p>
      <w:pPr>
        <w:spacing w:before="240"/>
        <w:jc w:val="center"/>
      </w:pPr>
      <w:r>
        <w:rPr>
          <w:color w:val="6a655c"/>
          <w:sz w:val="16"/>
          <w:szCs w:val="16"/>
        </w:rPr>
        <w:t xml:space="preserve">Provenance: CP(35/75/5) · scored 7 July 2026 under CProvenance v0.2 — human-directed concept, structure and editing; AI-assisted research and drafting; human-led stewardship with AI assistance.</w:t>
      </w:r>
    </w:p>
    <w:sectPr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0d8c8" w:sz="4" w:space="6"/>
      </w:pBdr>
      <w:tabs>
        <w:tab w:val="right" w:pos="9026"/>
      </w:tabs>
    </w:pPr>
    <w:r>
      <w:rPr>
        <w:color w:val="6a655c"/>
        <w:sz w:val="16"/>
        <w:szCs w:val="16"/>
      </w:rPr>
      <w:t xml:space="preserve">CProvenance Launch &amp; Adoption Kit</w:t>
    </w:r>
    <w:r>
      <w:rPr>
        <w:sz w:val="16"/>
        <w:szCs w:val="16"/>
      </w:rPr>
      <w:t xml:space="preserve">	</w:t>
    </w:r>
    <w:r>
      <w:rPr>
        <w:color w:val="6a655c"/>
        <w:sz w:val="16"/>
        <w:szCs w:val="16"/>
      </w:rPr>
      <w:t xml:space="preserve">Page </w:t>
    </w:r>
    <w:r>
      <w:rPr>
        <w:color w:val="6a655c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60" w:hanging="28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60" w:hanging="28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60" w:hanging="2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next w:val="Normal"/>
    <w:pPr>
      <w:spacing w:after="60"/>
      <w:jc w:val="center"/>
    </w:pPr>
    <w:rPr>
      <w:rFonts w:ascii="Georgia" w:cs="Georgia" w:eastAsia="Georgia" w:hAnsi="Georgia"/>
      <w:b/>
      <w:bCs/>
      <w:color w:val="1f1f2e"/>
      <w:sz w:val="60"/>
      <w:szCs w:val="60"/>
    </w:rPr>
  </w:style>
  <w:style w:type="paragraph" w:styleId="Heading1">
    <w:name w:val="Heading 1"/>
    <w:basedOn w:val="Normal"/>
    <w:next w:val="Normal"/>
    <w:qFormat/>
    <w:pPr>
      <w:pBdr>
        <w:bottom w:val="single" w:color="e0d8c8" w:sz="6" w:space="6"/>
      </w:pBdr>
      <w:spacing w:after="140" w:before="280"/>
      <w:outlineLvl w:val="0"/>
    </w:pPr>
    <w:rPr>
      <w:rFonts w:ascii="Georgia" w:cs="Georgia" w:eastAsia="Georgia" w:hAnsi="Georgia"/>
      <w:b/>
      <w:bCs/>
      <w:color w:val="1f1f2e"/>
      <w:sz w:val="30"/>
      <w:szCs w:val="30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Georgia" w:cs="Georgia" w:eastAsia="Georgia" w:hAnsi="Georgia"/>
      <w:b/>
      <w:bCs/>
      <w:color w:val="3a3550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image" Target="media/6ead2b0e864fb26d9fb8ce60c96716476ab1783d.png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2026-06-19T07:39:19.379Z</dcterms:created>
  <dcterms:modified xsi:type="dcterms:W3CDTF">2026-06-19T07:39:19.379Z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